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7B" w:rsidRPr="00BB727B" w:rsidRDefault="00BB727B" w:rsidP="00BB727B">
      <w:pPr>
        <w:shd w:val="clear" w:color="auto" w:fill="FFFFFF"/>
        <w:spacing w:after="210" w:line="375" w:lineRule="atLeast"/>
        <w:jc w:val="center"/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П</w:t>
      </w:r>
      <w:r w:rsidRPr="00BB727B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орядок действий для перехода на индивидуальный договор</w:t>
      </w:r>
      <w:r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 xml:space="preserve"> энергоснабжения для членов СНТ.</w:t>
      </w:r>
    </w:p>
    <w:p w:rsidR="00BB727B" w:rsidRPr="00BB727B" w:rsidRDefault="00BB727B" w:rsidP="00BB727B">
      <w:pPr>
        <w:shd w:val="clear" w:color="auto" w:fill="FFFFFF"/>
        <w:spacing w:after="210" w:line="375" w:lineRule="atLeast"/>
        <w:jc w:val="both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Переоформление (восстановление) документов об осуществлении ТП в случае изъявления намерения заключения индивидуальных договоров энергоснабжения (купли-продажи) электрической энергии между членами СНТ (или </w:t>
      </w:r>
      <w:proofErr w:type="gramStart"/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гражданами</w:t>
      </w:r>
      <w:proofErr w:type="gramEnd"/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 ведущими хозяйство в индивидуальном порядке на территории</w:t>
      </w:r>
      <w:r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 СНТ) и гарантирующим поставщиком.</w:t>
      </w:r>
    </w:p>
    <w:p w:rsidR="00BB727B" w:rsidRPr="00BB727B" w:rsidRDefault="00BB727B" w:rsidP="00BB727B">
      <w:pPr>
        <w:shd w:val="clear" w:color="auto" w:fill="FFFFFF"/>
        <w:spacing w:after="210" w:line="375" w:lineRule="atLeast"/>
        <w:jc w:val="both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При заключении индивидуальных договоров энергоснабжения между членами СНТ (или </w:t>
      </w:r>
      <w:proofErr w:type="gramStart"/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гражданами</w:t>
      </w:r>
      <w:proofErr w:type="gramEnd"/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 ведущими хозяйство в индивидуальном порядке на территории СНТ) и </w:t>
      </w:r>
      <w:r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гарантирующим поставщиком</w:t>
      </w: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 необходимо выполнить организационно-технические мероприятия:</w:t>
      </w:r>
    </w:p>
    <w:p w:rsidR="00BB727B" w:rsidRPr="00BB727B" w:rsidRDefault="00BB727B" w:rsidP="00BB727B">
      <w:pPr>
        <w:numPr>
          <w:ilvl w:val="0"/>
          <w:numId w:val="1"/>
        </w:numPr>
        <w:shd w:val="clear" w:color="auto" w:fill="FFFFFF"/>
        <w:spacing w:after="105" w:line="345" w:lineRule="atLeast"/>
        <w:ind w:left="900"/>
        <w:jc w:val="both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установить индивидуальный расчетный прибор учета на границе участков в соответствии с требованиями ПП 442, осуществить допуск прибора учета в эксплуатацию;</w:t>
      </w:r>
    </w:p>
    <w:p w:rsidR="00BB727B" w:rsidRPr="00BB727B" w:rsidRDefault="00BB727B" w:rsidP="00BB727B">
      <w:pPr>
        <w:numPr>
          <w:ilvl w:val="0"/>
          <w:numId w:val="1"/>
        </w:numPr>
        <w:shd w:val="clear" w:color="auto" w:fill="FFFFFF"/>
        <w:spacing w:after="105" w:line="345" w:lineRule="atLeast"/>
        <w:ind w:left="900"/>
        <w:jc w:val="both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оформить документы об осуществлении технологического присоединения </w:t>
      </w:r>
      <w:proofErr w:type="spellStart"/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 устройств, находящихся на территории и принадлежащие членам СНТ (или гражданам, ведущим хозяйство в индивидуальном порядке на территории СНТ), ранее присоединенных в надлежащем порядке:</w:t>
      </w:r>
    </w:p>
    <w:p w:rsidR="00BB727B" w:rsidRPr="00BB727B" w:rsidRDefault="00BB727B" w:rsidP="00BB727B">
      <w:pPr>
        <w:numPr>
          <w:ilvl w:val="1"/>
          <w:numId w:val="1"/>
        </w:numPr>
        <w:shd w:val="clear" w:color="auto" w:fill="FFFFFF"/>
        <w:spacing w:after="105" w:line="345" w:lineRule="atLeast"/>
        <w:ind w:left="1755"/>
        <w:jc w:val="both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акт об осуществлении ТП;</w:t>
      </w:r>
    </w:p>
    <w:p w:rsidR="00BB727B" w:rsidRPr="00BB727B" w:rsidRDefault="00BB727B" w:rsidP="00BB727B">
      <w:pPr>
        <w:numPr>
          <w:ilvl w:val="1"/>
          <w:numId w:val="1"/>
        </w:numPr>
        <w:shd w:val="clear" w:color="auto" w:fill="FFFFFF"/>
        <w:spacing w:after="105" w:line="345" w:lineRule="atLeast"/>
        <w:ind w:left="1755"/>
        <w:jc w:val="both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акт разграничения границ балансовой принадлежности сторон;</w:t>
      </w:r>
    </w:p>
    <w:p w:rsidR="00BB727B" w:rsidRPr="00BB727B" w:rsidRDefault="00BB727B" w:rsidP="00BB727B">
      <w:pPr>
        <w:numPr>
          <w:ilvl w:val="1"/>
          <w:numId w:val="1"/>
        </w:numPr>
        <w:shd w:val="clear" w:color="auto" w:fill="FFFFFF"/>
        <w:spacing w:line="345" w:lineRule="atLeast"/>
        <w:ind w:left="1755"/>
        <w:jc w:val="both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акт разграничения эксплуатационной ответственности сторон.</w:t>
      </w:r>
    </w:p>
    <w:p w:rsidR="00BB727B" w:rsidRPr="00BB727B" w:rsidRDefault="00BB727B" w:rsidP="00BB727B">
      <w:pPr>
        <w:shd w:val="clear" w:color="auto" w:fill="FFFFFF"/>
        <w:spacing w:after="345" w:line="315" w:lineRule="atLeast"/>
        <w:jc w:val="both"/>
        <w:rPr>
          <w:rFonts w:ascii="Helvetica" w:eastAsia="Times New Roman" w:hAnsi="Helvetica" w:cs="Helvetica"/>
          <w:color w:val="262626"/>
          <w:spacing w:val="-6"/>
          <w:sz w:val="39"/>
          <w:szCs w:val="39"/>
          <w:lang w:eastAsia="ru-RU"/>
        </w:rPr>
      </w:pPr>
      <w:r w:rsidRPr="00BB727B">
        <w:rPr>
          <w:rFonts w:ascii="Helvetica" w:eastAsia="Times New Roman" w:hAnsi="Helvetica" w:cs="Helvetica"/>
          <w:color w:val="262626"/>
          <w:spacing w:val="-6"/>
          <w:sz w:val="39"/>
          <w:szCs w:val="39"/>
          <w:lang w:eastAsia="ru-RU"/>
        </w:rPr>
        <w:t>1. Шаг</w:t>
      </w:r>
    </w:p>
    <w:p w:rsidR="00BB727B" w:rsidRPr="00BB727B" w:rsidRDefault="00BB727B" w:rsidP="00BB727B">
      <w:pPr>
        <w:shd w:val="clear" w:color="auto" w:fill="FFFFFF"/>
        <w:spacing w:after="210" w:line="375" w:lineRule="atLeast"/>
        <w:jc w:val="both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Проведение общего собрания членов СНТ, на котором должны быть приняты следующие решения:</w:t>
      </w:r>
    </w:p>
    <w:p w:rsidR="00BB727B" w:rsidRPr="00BB727B" w:rsidRDefault="00BB727B" w:rsidP="00BB727B">
      <w:pPr>
        <w:numPr>
          <w:ilvl w:val="0"/>
          <w:numId w:val="2"/>
        </w:numPr>
        <w:shd w:val="clear" w:color="auto" w:fill="FFFFFF"/>
        <w:spacing w:after="105" w:line="345" w:lineRule="atLeast"/>
        <w:ind w:left="900"/>
        <w:jc w:val="both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о необходимости заключения индивидуальных договоров энергоснабжения членами СНТ (а также гражданами, ведущими хозяйство в индивидуальном порядке на территории СНТ) и </w:t>
      </w:r>
      <w:r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гарантирующим поставщиком</w:t>
      </w:r>
    </w:p>
    <w:p w:rsidR="00BB727B" w:rsidRPr="00BB727B" w:rsidRDefault="00BB727B" w:rsidP="00BB727B">
      <w:pPr>
        <w:numPr>
          <w:ilvl w:val="0"/>
          <w:numId w:val="2"/>
        </w:numPr>
        <w:shd w:val="clear" w:color="auto" w:fill="FFFFFF"/>
        <w:spacing w:after="105" w:line="345" w:lineRule="atLeast"/>
        <w:ind w:left="900"/>
        <w:jc w:val="both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о распределении величины максимальной мощности между </w:t>
      </w:r>
      <w:proofErr w:type="spellStart"/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энергопринимающими</w:t>
      </w:r>
      <w:proofErr w:type="spellEnd"/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 устройствами, принадлежащими членам СНТ (а также гражданам, ведущим хозяйство в индивидуальном порядке на территории СНТ), не превышающей величины максимальной мощности, указанной в технических условиях (документах о технологическом присоединении) ранее присоединенных </w:t>
      </w:r>
      <w:proofErr w:type="spellStart"/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 устройств;</w:t>
      </w:r>
    </w:p>
    <w:p w:rsidR="00BB727B" w:rsidRPr="00BB727B" w:rsidRDefault="00BB727B" w:rsidP="00BB727B">
      <w:pPr>
        <w:numPr>
          <w:ilvl w:val="0"/>
          <w:numId w:val="2"/>
        </w:numPr>
        <w:shd w:val="clear" w:color="auto" w:fill="FFFFFF"/>
        <w:spacing w:after="105" w:line="345" w:lineRule="atLeast"/>
        <w:ind w:left="900"/>
        <w:jc w:val="both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о выборе уполномоченного представителя.</w:t>
      </w:r>
    </w:p>
    <w:p w:rsidR="00BB727B" w:rsidRPr="00BB727B" w:rsidRDefault="00BB727B" w:rsidP="00BB727B">
      <w:pPr>
        <w:shd w:val="clear" w:color="auto" w:fill="FFFFFF"/>
        <w:spacing w:line="375" w:lineRule="atLeast"/>
        <w:jc w:val="both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F27B19"/>
          <w:spacing w:val="-6"/>
          <w:sz w:val="24"/>
          <w:szCs w:val="24"/>
          <w:lang w:eastAsia="ru-RU"/>
        </w:rPr>
        <w:lastRenderedPageBreak/>
        <w:t>Важно!</w:t>
      </w: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 Указанные выше вопросы не относятся к компетенции сетевых и сбытовых компаний.</w:t>
      </w:r>
    </w:p>
    <w:p w:rsidR="00BB727B" w:rsidRPr="00BB727B" w:rsidRDefault="00BB727B" w:rsidP="00BB727B">
      <w:pPr>
        <w:shd w:val="clear" w:color="auto" w:fill="FFFFFF"/>
        <w:spacing w:after="345" w:line="315" w:lineRule="atLeast"/>
        <w:jc w:val="both"/>
        <w:rPr>
          <w:rFonts w:ascii="Helvetica" w:eastAsia="Times New Roman" w:hAnsi="Helvetica" w:cs="Helvetica"/>
          <w:color w:val="262626"/>
          <w:spacing w:val="-6"/>
          <w:sz w:val="39"/>
          <w:szCs w:val="39"/>
          <w:lang w:eastAsia="ru-RU"/>
        </w:rPr>
      </w:pPr>
      <w:r w:rsidRPr="00BB727B">
        <w:rPr>
          <w:rFonts w:ascii="Helvetica" w:eastAsia="Times New Roman" w:hAnsi="Helvetica" w:cs="Helvetica"/>
          <w:color w:val="262626"/>
          <w:spacing w:val="-6"/>
          <w:sz w:val="39"/>
          <w:szCs w:val="39"/>
          <w:lang w:eastAsia="ru-RU"/>
        </w:rPr>
        <w:t>2. Шаг</w:t>
      </w:r>
    </w:p>
    <w:p w:rsidR="00BB727B" w:rsidRPr="00BB727B" w:rsidRDefault="00BB727B" w:rsidP="00BB727B">
      <w:pPr>
        <w:shd w:val="clear" w:color="auto" w:fill="FFFFFF"/>
        <w:spacing w:after="210" w:line="375" w:lineRule="atLeast"/>
        <w:jc w:val="both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Установка индивидуальных расчетных приборов учета (счетчика) на границе участка и осуществление допуска приборов учета в эксплуатацию.</w:t>
      </w:r>
    </w:p>
    <w:p w:rsidR="00BB727B" w:rsidRPr="00BB727B" w:rsidRDefault="00BB727B" w:rsidP="00BB727B">
      <w:pPr>
        <w:shd w:val="clear" w:color="auto" w:fill="FFFFFF"/>
        <w:spacing w:line="375" w:lineRule="atLeast"/>
        <w:jc w:val="both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F27B19"/>
          <w:spacing w:val="-6"/>
          <w:sz w:val="24"/>
          <w:szCs w:val="24"/>
          <w:lang w:eastAsia="ru-RU"/>
        </w:rPr>
        <w:t>Важно!</w:t>
      </w: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 Установка приборов учета может быть осуществлена с привлечением саморегулируемых организаций, имеющих право на проведение такого рода работ. Допуск приборов учета в эксплуатацию осуществляет сетевая орг</w:t>
      </w:r>
      <w:r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анизация и сбытовая организация в соответствии с требованиями </w:t>
      </w: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ПУЭ-7</w:t>
      </w:r>
      <w:r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 и </w:t>
      </w: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Постановления Правительства РФ от 04.05.2012 № 442</w:t>
      </w:r>
      <w:r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.</w:t>
      </w:r>
    </w:p>
    <w:p w:rsidR="00BB727B" w:rsidRPr="00BB727B" w:rsidRDefault="00BB727B" w:rsidP="00BB727B">
      <w:pPr>
        <w:shd w:val="clear" w:color="auto" w:fill="FFFFFF"/>
        <w:spacing w:after="345" w:line="315" w:lineRule="atLeast"/>
        <w:jc w:val="both"/>
        <w:rPr>
          <w:rFonts w:ascii="Helvetica" w:eastAsia="Times New Roman" w:hAnsi="Helvetica" w:cs="Helvetica"/>
          <w:color w:val="262626"/>
          <w:spacing w:val="-6"/>
          <w:sz w:val="39"/>
          <w:szCs w:val="39"/>
          <w:lang w:eastAsia="ru-RU"/>
        </w:rPr>
      </w:pPr>
      <w:r w:rsidRPr="00BB727B">
        <w:rPr>
          <w:rFonts w:ascii="Helvetica" w:eastAsia="Times New Roman" w:hAnsi="Helvetica" w:cs="Helvetica"/>
          <w:color w:val="262626"/>
          <w:spacing w:val="-6"/>
          <w:sz w:val="39"/>
          <w:szCs w:val="39"/>
          <w:lang w:eastAsia="ru-RU"/>
        </w:rPr>
        <w:t>3. Шаг</w:t>
      </w:r>
    </w:p>
    <w:p w:rsidR="00BB727B" w:rsidRPr="00BB727B" w:rsidRDefault="00BB727B" w:rsidP="00BB727B">
      <w:pPr>
        <w:shd w:val="clear" w:color="auto" w:fill="FFFFFF"/>
        <w:spacing w:after="210" w:line="375" w:lineRule="atLeast"/>
        <w:jc w:val="both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Оформление документов об осуществлении технологического присоединения между СНТ и членами СНТ (а также гражданами, ведущими хозяйство в индивидуальном порядке на территории СНТ):</w:t>
      </w:r>
    </w:p>
    <w:p w:rsidR="00BB727B" w:rsidRPr="00BB727B" w:rsidRDefault="00BB727B" w:rsidP="00BB727B">
      <w:pPr>
        <w:numPr>
          <w:ilvl w:val="0"/>
          <w:numId w:val="3"/>
        </w:numPr>
        <w:shd w:val="clear" w:color="auto" w:fill="FFFFFF"/>
        <w:spacing w:after="105" w:line="345" w:lineRule="atLeast"/>
        <w:ind w:left="900"/>
        <w:jc w:val="both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акта об осуществлении технологического присоединения;</w:t>
      </w:r>
    </w:p>
    <w:p w:rsidR="00BB727B" w:rsidRPr="00BB727B" w:rsidRDefault="00BB727B" w:rsidP="00BB727B">
      <w:pPr>
        <w:numPr>
          <w:ilvl w:val="0"/>
          <w:numId w:val="3"/>
        </w:numPr>
        <w:shd w:val="clear" w:color="auto" w:fill="FFFFFF"/>
        <w:spacing w:after="105" w:line="345" w:lineRule="atLeast"/>
        <w:ind w:left="900"/>
        <w:jc w:val="both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акта разграничения границ балансовой принадлежности;</w:t>
      </w:r>
    </w:p>
    <w:p w:rsidR="00BB727B" w:rsidRPr="00BB727B" w:rsidRDefault="00BB727B" w:rsidP="00BB727B">
      <w:pPr>
        <w:numPr>
          <w:ilvl w:val="0"/>
          <w:numId w:val="3"/>
        </w:numPr>
        <w:shd w:val="clear" w:color="auto" w:fill="FFFFFF"/>
        <w:spacing w:after="105" w:line="345" w:lineRule="atLeast"/>
        <w:ind w:left="900"/>
        <w:jc w:val="both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акта эксплуатационной ответственности.</w:t>
      </w:r>
    </w:p>
    <w:p w:rsidR="00BB727B" w:rsidRPr="00BB727B" w:rsidRDefault="00BB727B" w:rsidP="00BB727B">
      <w:pPr>
        <w:shd w:val="clear" w:color="auto" w:fill="FFFFFF"/>
        <w:spacing w:after="210" w:line="375" w:lineRule="atLeast"/>
        <w:jc w:val="both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F27B19"/>
          <w:spacing w:val="-6"/>
          <w:sz w:val="24"/>
          <w:szCs w:val="24"/>
          <w:lang w:eastAsia="ru-RU"/>
        </w:rPr>
        <w:t>Важно!</w:t>
      </w: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  Указанные документы необходимы для заключения договора энергоснабжения и оформляются самостоятельно </w:t>
      </w:r>
      <w:r w:rsidR="0028314E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председателем и </w:t>
      </w:r>
      <w:bookmarkStart w:id="0" w:name="_GoBack"/>
      <w:bookmarkEnd w:id="0"/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членами СНТ (а также гражданами, ведущими хозяйство в индивидуальном порядке на территории СНТ).</w:t>
      </w:r>
    </w:p>
    <w:p w:rsidR="00BB727B" w:rsidRDefault="00BB727B" w:rsidP="00BB727B">
      <w:pPr>
        <w:shd w:val="clear" w:color="auto" w:fill="FFFFFF"/>
        <w:spacing w:after="345" w:line="315" w:lineRule="atLeast"/>
        <w:jc w:val="both"/>
        <w:rPr>
          <w:rFonts w:ascii="Helvetica" w:eastAsia="Times New Roman" w:hAnsi="Helvetica" w:cs="Helvetica"/>
          <w:color w:val="262626"/>
          <w:spacing w:val="-6"/>
          <w:sz w:val="39"/>
          <w:szCs w:val="39"/>
          <w:lang w:eastAsia="ru-RU"/>
        </w:rPr>
      </w:pPr>
      <w:r w:rsidRPr="00BB727B">
        <w:rPr>
          <w:rFonts w:ascii="Helvetica" w:eastAsia="Times New Roman" w:hAnsi="Helvetica" w:cs="Helvetica"/>
          <w:color w:val="262626"/>
          <w:spacing w:val="-6"/>
          <w:sz w:val="39"/>
          <w:szCs w:val="39"/>
          <w:lang w:eastAsia="ru-RU"/>
        </w:rPr>
        <w:t>4. Шаг</w:t>
      </w:r>
    </w:p>
    <w:p w:rsidR="00BB727B" w:rsidRPr="00BB727B" w:rsidRDefault="00BB727B" w:rsidP="00BB727B">
      <w:pPr>
        <w:shd w:val="clear" w:color="auto" w:fill="FFFFFF"/>
        <w:spacing w:after="345" w:line="315" w:lineRule="atLeast"/>
        <w:jc w:val="both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BB727B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Заключение договоров энергоснабжения с </w:t>
      </w:r>
      <w:r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гарантирующим поставщиком.</w:t>
      </w:r>
    </w:p>
    <w:p w:rsidR="00776DE2" w:rsidRDefault="00776DE2" w:rsidP="00BB727B">
      <w:pPr>
        <w:jc w:val="both"/>
      </w:pPr>
    </w:p>
    <w:sectPr w:rsidR="00776DE2" w:rsidSect="00BB72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74F"/>
    <w:multiLevelType w:val="multilevel"/>
    <w:tmpl w:val="C87E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10077"/>
    <w:multiLevelType w:val="multilevel"/>
    <w:tmpl w:val="1F88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54033"/>
    <w:multiLevelType w:val="multilevel"/>
    <w:tmpl w:val="3CF0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7B"/>
    <w:rsid w:val="0028314E"/>
    <w:rsid w:val="00776DE2"/>
    <w:rsid w:val="00B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2CE5"/>
  <w15:chartTrackingRefBased/>
  <w15:docId w15:val="{7F278E85-B837-4C50-8E32-083159E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B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iption">
    <w:name w:val="item-description"/>
    <w:basedOn w:val="a"/>
    <w:rsid w:val="00B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info">
    <w:name w:val="item-info"/>
    <w:basedOn w:val="a"/>
    <w:rsid w:val="00B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rning">
    <w:name w:val="warning"/>
    <w:basedOn w:val="a0"/>
    <w:rsid w:val="00BB727B"/>
  </w:style>
  <w:style w:type="paragraph" w:styleId="a4">
    <w:name w:val="Balloon Text"/>
    <w:basedOn w:val="a"/>
    <w:link w:val="a5"/>
    <w:uiPriority w:val="99"/>
    <w:semiHidden/>
    <w:unhideWhenUsed/>
    <w:rsid w:val="00BB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8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Разумовский Денис Игоревич</dc:creator>
  <cp:keywords/>
  <dc:description/>
  <cp:lastModifiedBy>Разумовский Денис Игоревич</cp:lastModifiedBy>
  <cp:revision>1</cp:revision>
  <cp:lastPrinted>2023-05-11T08:28:00Z</cp:lastPrinted>
  <dcterms:created xsi:type="dcterms:W3CDTF">2023-05-11T08:04:00Z</dcterms:created>
  <dcterms:modified xsi:type="dcterms:W3CDTF">2023-05-11T08:29:00Z</dcterms:modified>
</cp:coreProperties>
</file>